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 xml:space="preserve">Специалисты </w:t>
      </w:r>
      <w:proofErr w:type="spellStart"/>
      <w:r>
        <w:rPr>
          <w:color w:val="3F3F3F"/>
          <w:sz w:val="21"/>
          <w:szCs w:val="21"/>
        </w:rPr>
        <w:t>Главгосэк</w:t>
      </w:r>
      <w:r w:rsidR="00BA3724">
        <w:rPr>
          <w:color w:val="3F3F3F"/>
          <w:sz w:val="21"/>
          <w:szCs w:val="21"/>
        </w:rPr>
        <w:t>спертизы</w:t>
      </w:r>
      <w:proofErr w:type="spellEnd"/>
      <w:r w:rsidR="00BA3724">
        <w:rPr>
          <w:color w:val="3F3F3F"/>
          <w:sz w:val="21"/>
          <w:szCs w:val="21"/>
        </w:rPr>
        <w:t xml:space="preserve"> </w:t>
      </w:r>
      <w:bookmarkStart w:id="0" w:name="_GoBack"/>
      <w:bookmarkEnd w:id="0"/>
      <w:r>
        <w:rPr>
          <w:color w:val="3F3F3F"/>
          <w:sz w:val="21"/>
          <w:szCs w:val="21"/>
        </w:rPr>
        <w:t>прокомментировали ключевые обновления Федеральной базы сметных нормативов.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rStyle w:val="a4"/>
          <w:color w:val="3F3F3F"/>
          <w:sz w:val="21"/>
          <w:szCs w:val="21"/>
          <w:bdr w:val="none" w:sz="0" w:space="0" w:color="auto" w:frame="1"/>
        </w:rPr>
        <w:t>1. Сборник ГЭСН 06 «Бетонные и железобетонные конструкции монолитные»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 xml:space="preserve">Разработано 14 сметных норм и федеральных единичных расценок, дифференцированных по диаметрам </w:t>
      </w:r>
      <w:proofErr w:type="gramStart"/>
      <w:r>
        <w:rPr>
          <w:color w:val="3F3F3F"/>
          <w:sz w:val="21"/>
          <w:szCs w:val="21"/>
        </w:rPr>
        <w:t>арматурной</w:t>
      </w:r>
      <w:proofErr w:type="gramEnd"/>
      <w:r>
        <w:rPr>
          <w:color w:val="3F3F3F"/>
          <w:sz w:val="21"/>
          <w:szCs w:val="21"/>
        </w:rPr>
        <w:t xml:space="preserve"> стали от 6 до 40 мм.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 xml:space="preserve">В сметно-нормативной базе долгое время отсутствовали сметные нормы на сборку и сварку арматурных пространственных каркасов в построечных условиях. Нормы впервые разработаны </w:t>
      </w:r>
      <w:proofErr w:type="spellStart"/>
      <w:r>
        <w:rPr>
          <w:color w:val="3F3F3F"/>
          <w:sz w:val="21"/>
          <w:szCs w:val="21"/>
        </w:rPr>
        <w:t>Главгосэкспертизой</w:t>
      </w:r>
      <w:proofErr w:type="spellEnd"/>
      <w:r>
        <w:rPr>
          <w:color w:val="3F3F3F"/>
          <w:sz w:val="21"/>
          <w:szCs w:val="21"/>
        </w:rPr>
        <w:t xml:space="preserve"> России расчетно-аналитическим методом.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noProof/>
          <w:color w:val="3F3F3F"/>
          <w:sz w:val="21"/>
          <w:szCs w:val="21"/>
        </w:rPr>
        <w:drawing>
          <wp:inline distT="0" distB="0" distL="0" distR="0" wp14:anchorId="77FF388C" wp14:editId="39B23BCF">
            <wp:extent cx="6667500" cy="3762375"/>
            <wp:effectExtent l="0" t="0" r="0" b="9525"/>
            <wp:docPr id="1" name="Рисунок 1" descr="https://fgiscs.minstroyrf.ru/api/values/GetFileContent/8409c364-c461-4e3c-8448-4cc3824ee9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giscs.minstroyrf.ru/api/values/GetFileContent/8409c364-c461-4e3c-8448-4cc3824ee9a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rStyle w:val="a4"/>
          <w:color w:val="3F3F3F"/>
          <w:sz w:val="21"/>
          <w:szCs w:val="21"/>
          <w:bdr w:val="none" w:sz="0" w:space="0" w:color="auto" w:frame="1"/>
        </w:rPr>
        <w:t xml:space="preserve">2. Сборник </w:t>
      </w:r>
      <w:proofErr w:type="spellStart"/>
      <w:r>
        <w:rPr>
          <w:rStyle w:val="a4"/>
          <w:color w:val="3F3F3F"/>
          <w:sz w:val="21"/>
          <w:szCs w:val="21"/>
          <w:bdr w:val="none" w:sz="0" w:space="0" w:color="auto" w:frame="1"/>
        </w:rPr>
        <w:t>ГЭСНм</w:t>
      </w:r>
      <w:proofErr w:type="spellEnd"/>
      <w:r>
        <w:rPr>
          <w:rStyle w:val="a4"/>
          <w:color w:val="3F3F3F"/>
          <w:sz w:val="21"/>
          <w:szCs w:val="21"/>
          <w:bdr w:val="none" w:sz="0" w:space="0" w:color="auto" w:frame="1"/>
        </w:rPr>
        <w:t xml:space="preserve"> 20 «Оборудование сигнализации, централизации, блокировки и контактной сети на железнодорожном транспорте».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Сметные нормы, разработанные ОАО «РЖД» в соответствии с Планом утверждения (актуализации) сметных нормативов на 2021 год, на работы при реконструкции и капитальном ремонте существующих контактных сетей на железнодорожном транспорте необходимы для определения затрат на строительство контактных сетей для движения поездов со скоростью до 160 км/ч (КС-160) при обновлении и модернизации дорог ОАО «РЖД».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noProof/>
          <w:color w:val="3F3F3F"/>
          <w:sz w:val="21"/>
          <w:szCs w:val="21"/>
        </w:rPr>
        <w:lastRenderedPageBreak/>
        <w:drawing>
          <wp:inline distT="0" distB="0" distL="0" distR="0" wp14:anchorId="15295337" wp14:editId="3FFB515F">
            <wp:extent cx="6667500" cy="3752850"/>
            <wp:effectExtent l="0" t="0" r="0" b="0"/>
            <wp:docPr id="2" name="Рисунок 2" descr="https://fgiscs.minstroyrf.ru/api/values/GetFileContent/ed431d63-279d-4c63-aad4-de55be643e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giscs.minstroyrf.ru/api/values/GetFileContent/ed431d63-279d-4c63-aad4-de55be643e2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rStyle w:val="a4"/>
          <w:color w:val="3F3F3F"/>
          <w:sz w:val="21"/>
          <w:szCs w:val="21"/>
          <w:bdr w:val="none" w:sz="0" w:space="0" w:color="auto" w:frame="1"/>
        </w:rPr>
        <w:t>3. Сборник ГЭСН 15 «Отделочные работы»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В сметной нормативной базе ранее отсутствовали нормы на монтаж системы защиты стен и углов.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Технологии предназначены для защиты колонн, углов стен и выступающих частей зданий от повреждений и износа в результате столкновения с движущимися объектами в зданиях общественного назначения с постоянно высоким потоком людей. Сюда относятся магазины, больницы, заведения общепита, гостиницы, административные учреждения.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Угловые отбойники помогают сохранить изначальный вид помещения и сберечь дорогостоящую отделку от повреждений в результате ежедневной эксплуатации. Основой отбойных устройств является прочный алюминиевый профиль, который закрепляется непосредственно на стене. На него устанавливается стойкое к различным видам износа виниловое покрытие.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Отбойная доска шириной 150 мм и толщиной 20 мм монтируется на стену при помощи сплошного алюминиевого профиля с фиксирующими элементами с интервалом 50-60 см. Система защиты с виниловым покрытием амортизирует удары благодаря двойной резиновой прослойке и препятствует износу отделки.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Нормы переработаны в рамках гармонизации с базой территориальных сметных нормативов (ТСН г. Москвы).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noProof/>
          <w:color w:val="3F3F3F"/>
          <w:sz w:val="21"/>
          <w:szCs w:val="21"/>
        </w:rPr>
        <w:lastRenderedPageBreak/>
        <w:drawing>
          <wp:inline distT="0" distB="0" distL="0" distR="0" wp14:anchorId="6D6A1E4C" wp14:editId="0D6AE640">
            <wp:extent cx="6667500" cy="3724275"/>
            <wp:effectExtent l="0" t="0" r="0" b="9525"/>
            <wp:docPr id="3" name="Рисунок 3" descr="https://fgiscs.minstroyrf.ru/api/values/GetFileContent/871b9948-1f91-477e-9e7b-b0bb38d0b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giscs.minstroyrf.ru/api/values/GetFileContent/871b9948-1f91-477e-9e7b-b0bb38d0ba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rStyle w:val="a4"/>
          <w:color w:val="3F3F3F"/>
          <w:sz w:val="21"/>
          <w:szCs w:val="21"/>
          <w:bdr w:val="none" w:sz="0" w:space="0" w:color="auto" w:frame="1"/>
        </w:rPr>
        <w:t>4. Сборник ГЭСН 27 «Автомобильные дороги»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ФСНБ-2020 дополнена нормами на укладку литой асфальтобетонной смеси на тротуарах мостовых сооружений в местах с затрудненным доступом с использованием мини-перегружателя.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 xml:space="preserve">Технология предполагает укладку литой асфальтобетонной смеси в труднодоступных местах мостовых сооружений с устройством и без устройства опалубки. </w:t>
      </w:r>
      <w:proofErr w:type="gramStart"/>
      <w:r>
        <w:rPr>
          <w:color w:val="3F3F3F"/>
          <w:sz w:val="21"/>
          <w:szCs w:val="21"/>
        </w:rPr>
        <w:t>Из термос</w:t>
      </w:r>
      <w:proofErr w:type="gramEnd"/>
      <w:r>
        <w:rPr>
          <w:color w:val="3F3F3F"/>
          <w:sz w:val="21"/>
          <w:szCs w:val="21"/>
        </w:rPr>
        <w:t>–бункера выгружается литой асфальтобетон в цистерну мини-</w:t>
      </w:r>
      <w:proofErr w:type="spellStart"/>
      <w:r>
        <w:rPr>
          <w:color w:val="3F3F3F"/>
          <w:sz w:val="21"/>
          <w:szCs w:val="21"/>
        </w:rPr>
        <w:t>кохера</w:t>
      </w:r>
      <w:proofErr w:type="spellEnd"/>
      <w:r>
        <w:rPr>
          <w:color w:val="3F3F3F"/>
          <w:sz w:val="21"/>
          <w:szCs w:val="21"/>
        </w:rPr>
        <w:t>, по завершению загрузки цистерны мини-</w:t>
      </w:r>
      <w:proofErr w:type="spellStart"/>
      <w:r>
        <w:rPr>
          <w:color w:val="3F3F3F"/>
          <w:sz w:val="21"/>
          <w:szCs w:val="21"/>
        </w:rPr>
        <w:t>кохера</w:t>
      </w:r>
      <w:proofErr w:type="spellEnd"/>
      <w:r>
        <w:rPr>
          <w:color w:val="3F3F3F"/>
          <w:sz w:val="21"/>
          <w:szCs w:val="21"/>
        </w:rPr>
        <w:t xml:space="preserve"> смесь перевозится на участок производства работ. Далее смесь перегружается в тачки, укладывается и разравнивается вручную.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 xml:space="preserve">В сметной документации также отсутствовали нормы на укрепление обочин </w:t>
      </w:r>
      <w:proofErr w:type="spellStart"/>
      <w:r>
        <w:rPr>
          <w:color w:val="3F3F3F"/>
          <w:sz w:val="21"/>
          <w:szCs w:val="21"/>
        </w:rPr>
        <w:t>асфальтогранулятом</w:t>
      </w:r>
      <w:proofErr w:type="spellEnd"/>
      <w:r>
        <w:rPr>
          <w:color w:val="3F3F3F"/>
          <w:sz w:val="21"/>
          <w:szCs w:val="21"/>
        </w:rPr>
        <w:t>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 xml:space="preserve">Одним из эффективных решений укрепления обочин является использование </w:t>
      </w:r>
      <w:proofErr w:type="spellStart"/>
      <w:r>
        <w:rPr>
          <w:color w:val="3F3F3F"/>
          <w:sz w:val="21"/>
          <w:szCs w:val="21"/>
        </w:rPr>
        <w:t>асфальтогранулята</w:t>
      </w:r>
      <w:proofErr w:type="spellEnd"/>
      <w:r>
        <w:rPr>
          <w:color w:val="3F3F3F"/>
          <w:sz w:val="21"/>
          <w:szCs w:val="21"/>
        </w:rPr>
        <w:t>, образующего в результате фрезерования неровностей старого покрытия. Повторное применение старого асфальтобетона в дорожном строительстве позволяет уменьшить расход кондиционных минеральных и вяжущих материалов, сократить расходы на их перевозку, способствует решению проблем утилизации асфальтобетонного лома и охраны окружающей среды.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 xml:space="preserve">Нормой предусмотрено устройство слоя из </w:t>
      </w:r>
      <w:proofErr w:type="spellStart"/>
      <w:r>
        <w:rPr>
          <w:color w:val="3F3F3F"/>
          <w:sz w:val="21"/>
          <w:szCs w:val="21"/>
        </w:rPr>
        <w:t>асфальтогранулята</w:t>
      </w:r>
      <w:proofErr w:type="spellEnd"/>
      <w:r>
        <w:rPr>
          <w:color w:val="3F3F3F"/>
          <w:sz w:val="21"/>
          <w:szCs w:val="21"/>
        </w:rPr>
        <w:t xml:space="preserve"> с уплотнением </w:t>
      </w:r>
      <w:proofErr w:type="spellStart"/>
      <w:r>
        <w:rPr>
          <w:color w:val="3F3F3F"/>
          <w:sz w:val="21"/>
          <w:szCs w:val="21"/>
        </w:rPr>
        <w:t>виброкатком</w:t>
      </w:r>
      <w:proofErr w:type="spellEnd"/>
      <w:r>
        <w:rPr>
          <w:color w:val="3F3F3F"/>
          <w:sz w:val="21"/>
          <w:szCs w:val="21"/>
        </w:rPr>
        <w:t xml:space="preserve"> массой 15 т.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 xml:space="preserve">Нормы разработаны в рамках реализации плана мероприятий по взаимодействию Минстроя России, Минтранса России и </w:t>
      </w:r>
      <w:proofErr w:type="spellStart"/>
      <w:r>
        <w:rPr>
          <w:color w:val="3F3F3F"/>
          <w:sz w:val="21"/>
          <w:szCs w:val="21"/>
        </w:rPr>
        <w:t>Главгосэкспертизы</w:t>
      </w:r>
      <w:proofErr w:type="spellEnd"/>
      <w:r>
        <w:rPr>
          <w:color w:val="3F3F3F"/>
          <w:sz w:val="21"/>
          <w:szCs w:val="21"/>
        </w:rPr>
        <w:t xml:space="preserve"> России по гармонизации государственных сметных нормативов и отраслевых сметных норм.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noProof/>
          <w:color w:val="3F3F3F"/>
          <w:sz w:val="21"/>
          <w:szCs w:val="21"/>
        </w:rPr>
        <w:lastRenderedPageBreak/>
        <w:drawing>
          <wp:inline distT="0" distB="0" distL="0" distR="0" wp14:anchorId="1B194817" wp14:editId="4268B6BD">
            <wp:extent cx="6667500" cy="3676650"/>
            <wp:effectExtent l="0" t="0" r="0" b="0"/>
            <wp:docPr id="4" name="Рисунок 4" descr="https://fgiscs.minstroyrf.ru/api/values/GetFileContent/aee75aa5-f42c-4eae-a9ce-f2a95d7ef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giscs.minstroyrf.ru/api/values/GetFileContent/aee75aa5-f42c-4eae-a9ce-f2a95d7ef6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rStyle w:val="a4"/>
          <w:color w:val="3F3F3F"/>
          <w:sz w:val="21"/>
          <w:szCs w:val="21"/>
          <w:bdr w:val="none" w:sz="0" w:space="0" w:color="auto" w:frame="1"/>
        </w:rPr>
        <w:t xml:space="preserve">5. Сборник </w:t>
      </w:r>
      <w:proofErr w:type="spellStart"/>
      <w:r>
        <w:rPr>
          <w:rStyle w:val="a4"/>
          <w:color w:val="3F3F3F"/>
          <w:sz w:val="21"/>
          <w:szCs w:val="21"/>
          <w:bdr w:val="none" w:sz="0" w:space="0" w:color="auto" w:frame="1"/>
        </w:rPr>
        <w:t>ГЭСНм</w:t>
      </w:r>
      <w:proofErr w:type="spellEnd"/>
      <w:r>
        <w:rPr>
          <w:rStyle w:val="a4"/>
          <w:color w:val="3F3F3F"/>
          <w:sz w:val="21"/>
          <w:szCs w:val="21"/>
          <w:bdr w:val="none" w:sz="0" w:space="0" w:color="auto" w:frame="1"/>
        </w:rPr>
        <w:t xml:space="preserve"> 03 «Подъемно-транспортное оборудование»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Эскалатор — подъемно-транспортная машина в виде наклоненной на 30—35° к горизонту лестницы с движущимися ступенями для перемещения людей с одного уровня на другой. Ступени лестницы обычно прикреплены к замкнутой цепи, которая приводится в движение от электродвигателя через редуктор или с помощью линейного привода. Является одним из видов конвейера.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Нормы переработаны в рамках гармонизации с базой территориальных сметных нормативов (ТСН г. Москвы).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noProof/>
          <w:color w:val="3F3F3F"/>
          <w:sz w:val="21"/>
          <w:szCs w:val="21"/>
        </w:rPr>
        <w:drawing>
          <wp:inline distT="0" distB="0" distL="0" distR="0" wp14:anchorId="33EF6536" wp14:editId="083E337F">
            <wp:extent cx="6657975" cy="3781425"/>
            <wp:effectExtent l="0" t="0" r="9525" b="9525"/>
            <wp:docPr id="5" name="Рисунок 5" descr="https://fgiscs.minstroyrf.ru/api/values/GetFileContent/5f02ba78-b750-4caf-81b2-080e69189c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giscs.minstroyrf.ru/api/values/GetFileContent/5f02ba78-b750-4caf-81b2-080e69189c5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rStyle w:val="a4"/>
          <w:color w:val="3F3F3F"/>
          <w:sz w:val="21"/>
          <w:szCs w:val="21"/>
          <w:bdr w:val="none" w:sz="0" w:space="0" w:color="auto" w:frame="1"/>
        </w:rPr>
        <w:lastRenderedPageBreak/>
        <w:t xml:space="preserve">6. Сборник </w:t>
      </w:r>
      <w:proofErr w:type="spellStart"/>
      <w:r>
        <w:rPr>
          <w:rStyle w:val="a4"/>
          <w:color w:val="3F3F3F"/>
          <w:sz w:val="21"/>
          <w:szCs w:val="21"/>
          <w:bdr w:val="none" w:sz="0" w:space="0" w:color="auto" w:frame="1"/>
        </w:rPr>
        <w:t>ГЭСНм</w:t>
      </w:r>
      <w:proofErr w:type="spellEnd"/>
      <w:r>
        <w:rPr>
          <w:rStyle w:val="a4"/>
          <w:color w:val="3F3F3F"/>
          <w:sz w:val="21"/>
          <w:szCs w:val="21"/>
          <w:bdr w:val="none" w:sz="0" w:space="0" w:color="auto" w:frame="1"/>
        </w:rPr>
        <w:t xml:space="preserve"> 10 «Оборудование связи»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В сметно-нормативной базе отсутствовали нормы на монтаж Автоматических дорожных метеорологических станций. Основной задачей специализированного метеорологического обеспечения дорожного хозяйства является сбор, анализ метеоданных, полученных с пунктов дорожного метеорологического контроля в автоматическом режиме, и прогноз возможности возникновения неблагоприятных или опасных метеорологических явлений, а также прогноз о возможности неблагоприятных условий движения.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Системы специализированного метеорологического оборудования широко используются при обеспечении дорожного хозяйства.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Разработано 5 сметных норм и федеральных единичных расценок к ним, учитывающие затраты на работы по установке, настройке и регулировке элементов дорожной метеостанции.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 xml:space="preserve">Нормы разработаны </w:t>
      </w:r>
      <w:proofErr w:type="spellStart"/>
      <w:r>
        <w:rPr>
          <w:color w:val="3F3F3F"/>
          <w:sz w:val="21"/>
          <w:szCs w:val="21"/>
        </w:rPr>
        <w:t>Главгосэкспертизой</w:t>
      </w:r>
      <w:proofErr w:type="spellEnd"/>
      <w:r>
        <w:rPr>
          <w:color w:val="3F3F3F"/>
          <w:sz w:val="21"/>
          <w:szCs w:val="21"/>
        </w:rPr>
        <w:t xml:space="preserve"> расчетно-исследовательским и расчетно-аналитическим методами технического нормирования в рамках реализации пункта 322 Плана утверждения (актуализации) сметных нормативов на 2021 год. Инициатором разработки выступил Минтранс России.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noProof/>
          <w:color w:val="3F3F3F"/>
          <w:sz w:val="21"/>
          <w:szCs w:val="21"/>
        </w:rPr>
        <w:drawing>
          <wp:inline distT="0" distB="0" distL="0" distR="0" wp14:anchorId="020A8DB5" wp14:editId="0F6F6267">
            <wp:extent cx="6667500" cy="3733800"/>
            <wp:effectExtent l="0" t="0" r="0" b="0"/>
            <wp:docPr id="6" name="Рисунок 6" descr="https://fgiscs.minstroyrf.ru/api/values/GetFileContent/9c70f8db-45b0-42ea-bae6-369bf2bde7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giscs.minstroyrf.ru/api/values/GetFileContent/9c70f8db-45b0-42ea-bae6-369bf2bde76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rStyle w:val="a4"/>
          <w:color w:val="3F3F3F"/>
          <w:sz w:val="21"/>
          <w:szCs w:val="21"/>
          <w:bdr w:val="none" w:sz="0" w:space="0" w:color="auto" w:frame="1"/>
        </w:rPr>
        <w:t>7. Сборник ГЭСН 30 «Мосты и трубы»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 xml:space="preserve">В дополнение к сметным нормам на </w:t>
      </w:r>
      <w:proofErr w:type="spellStart"/>
      <w:r>
        <w:rPr>
          <w:color w:val="3F3F3F"/>
          <w:sz w:val="21"/>
          <w:szCs w:val="21"/>
        </w:rPr>
        <w:t>Огрунтовку</w:t>
      </w:r>
      <w:proofErr w:type="spellEnd"/>
      <w:r>
        <w:rPr>
          <w:color w:val="3F3F3F"/>
          <w:sz w:val="21"/>
          <w:szCs w:val="21"/>
        </w:rPr>
        <w:t xml:space="preserve"> и окраску мостовых металлических конструкций лакокрасочными материалами (с земли) разработаны сметные нормы, учитывающие производство данных работ с применением автогидроподъемников.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 xml:space="preserve">Таким металлическим конструкциям как мосты, эксплуатируемым при постоянных значительных нагрузках, воздействии влаги, перепадах температур и пр., должно уделяться повышенное внимание. Ведь эти конструкции </w:t>
      </w:r>
      <w:r>
        <w:rPr>
          <w:color w:val="3F3F3F"/>
          <w:sz w:val="21"/>
          <w:szCs w:val="21"/>
        </w:rPr>
        <w:lastRenderedPageBreak/>
        <w:t>должны выполнять свои функции, не подвергая риску пешеходов и транспорт, при этом оставаясь максимально полезными и безопасными.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 xml:space="preserve">Для обеспечения высокой степени защиты от атмосферного воздействия и коррозии элементов стальных пролетных строений мостов и путепроводов применяются специальные лакокрасочные покрытия, нанесение которых </w:t>
      </w:r>
      <w:proofErr w:type="gramStart"/>
      <w:r>
        <w:rPr>
          <w:color w:val="3F3F3F"/>
          <w:sz w:val="21"/>
          <w:szCs w:val="21"/>
        </w:rPr>
        <w:t>возможно</w:t>
      </w:r>
      <w:proofErr w:type="gramEnd"/>
      <w:r>
        <w:rPr>
          <w:color w:val="3F3F3F"/>
          <w:sz w:val="21"/>
          <w:szCs w:val="21"/>
        </w:rPr>
        <w:t xml:space="preserve"> как на заводе-изготовителе, так и на строительной площадке.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 xml:space="preserve">Нормы разработаны </w:t>
      </w:r>
      <w:proofErr w:type="spellStart"/>
      <w:r>
        <w:rPr>
          <w:color w:val="3F3F3F"/>
          <w:sz w:val="21"/>
          <w:szCs w:val="21"/>
        </w:rPr>
        <w:t>Главгосэкспертизой</w:t>
      </w:r>
      <w:proofErr w:type="spellEnd"/>
      <w:r>
        <w:rPr>
          <w:color w:val="3F3F3F"/>
          <w:sz w:val="21"/>
          <w:szCs w:val="21"/>
        </w:rPr>
        <w:t xml:space="preserve"> расчетно-исследовательским и расчетно-аналитическим методами технического нормирования в рамках реализации пунктов 315 и 316 Плана утверждения (актуализации) сметных нормативов на 2021 год. Инициатором разработки выступил Минтранс России.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 xml:space="preserve">Нормы по </w:t>
      </w:r>
      <w:proofErr w:type="spellStart"/>
      <w:r>
        <w:rPr>
          <w:color w:val="3F3F3F"/>
          <w:sz w:val="21"/>
          <w:szCs w:val="21"/>
        </w:rPr>
        <w:t>огрунтовке</w:t>
      </w:r>
      <w:proofErr w:type="spellEnd"/>
      <w:r>
        <w:rPr>
          <w:color w:val="3F3F3F"/>
          <w:sz w:val="21"/>
          <w:szCs w:val="21"/>
        </w:rPr>
        <w:t xml:space="preserve"> и окраске дифференцированы, т.к. при окраске болтов и стыков учтена </w:t>
      </w:r>
      <w:proofErr w:type="spellStart"/>
      <w:r>
        <w:rPr>
          <w:color w:val="3F3F3F"/>
          <w:sz w:val="21"/>
          <w:szCs w:val="21"/>
        </w:rPr>
        <w:t>малообъемность</w:t>
      </w:r>
      <w:proofErr w:type="spellEnd"/>
      <w:r>
        <w:rPr>
          <w:color w:val="3F3F3F"/>
          <w:sz w:val="21"/>
          <w:szCs w:val="21"/>
        </w:rPr>
        <w:t xml:space="preserve"> работ и большее количество трудозатрат, чем при окраске основных конструкций.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При разработке данных норм специалисты работали в том числе и на строительстве Крымского моста.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noProof/>
          <w:color w:val="3F3F3F"/>
          <w:sz w:val="21"/>
          <w:szCs w:val="21"/>
        </w:rPr>
        <w:drawing>
          <wp:inline distT="0" distB="0" distL="0" distR="0" wp14:anchorId="69EAF7FF" wp14:editId="148CF8FD">
            <wp:extent cx="6667500" cy="3743325"/>
            <wp:effectExtent l="0" t="0" r="0" b="9525"/>
            <wp:docPr id="7" name="Рисунок 7" descr="https://fgiscs.minstroyrf.ru/api/values/GetFileContent/36f1c9d5-6c3f-445e-bacc-8add9d1f6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giscs.minstroyrf.ru/api/values/GetFileContent/36f1c9d5-6c3f-445e-bacc-8add9d1f6b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rStyle w:val="a4"/>
          <w:color w:val="3F3F3F"/>
          <w:sz w:val="21"/>
          <w:szCs w:val="21"/>
          <w:bdr w:val="none" w:sz="0" w:space="0" w:color="auto" w:frame="1"/>
        </w:rPr>
        <w:t>8. Сборник ГЭСН 35 «Горнопроходческие работы»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В сметно-нормативной базе ряд норм на горнопроходческие работы в шахтах требуют актуализации и дополнений в части современных новых подходов в производстве таких работ. Учитываемый в сметных нормах процесс доставки материалов с помощью вагонеток зачастую нецелесообразен ввиду своей сложности и трудоемкости.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 xml:space="preserve">Для автоматизации и сокращения сроков производства работ в настоящее время широко применяются современные отечественные строительные материалы, маневренные машины и механизмы с высоким уровнем технической эффективности (например, погрузочно-доставочные машины для транспортировки грузов), что способствует улучшению целого ряда показателей: комплекс операций выполняется одной машиной, одним </w:t>
      </w:r>
      <w:r>
        <w:rPr>
          <w:color w:val="3F3F3F"/>
          <w:sz w:val="21"/>
          <w:szCs w:val="21"/>
        </w:rPr>
        <w:lastRenderedPageBreak/>
        <w:t>машинистом, сокращается время выполнения работ, увеличивается производительность труда, сокращается трудоемкость.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 xml:space="preserve">Силами специалистов </w:t>
      </w:r>
      <w:proofErr w:type="spellStart"/>
      <w:r>
        <w:rPr>
          <w:color w:val="3F3F3F"/>
          <w:sz w:val="21"/>
          <w:szCs w:val="21"/>
        </w:rPr>
        <w:t>Главгосэкспертизы</w:t>
      </w:r>
      <w:proofErr w:type="spellEnd"/>
      <w:r>
        <w:rPr>
          <w:color w:val="3F3F3F"/>
          <w:sz w:val="21"/>
          <w:szCs w:val="21"/>
        </w:rPr>
        <w:t xml:space="preserve"> были успешно проведены более 35 нормативных наблюдений технологических процессов при помощи хронометража и пооперационного фотоучета в условиях шахт, опасных по газу и пыли, непосредственно на рудниках алмазодобывающей промышленности.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 xml:space="preserve">Результаты нормативных наблюдений учтены при разработке сметных норм по технологиям </w:t>
      </w:r>
      <w:proofErr w:type="spellStart"/>
      <w:r>
        <w:rPr>
          <w:color w:val="3F3F3F"/>
          <w:sz w:val="21"/>
          <w:szCs w:val="21"/>
        </w:rPr>
        <w:t>пп</w:t>
      </w:r>
      <w:proofErr w:type="spellEnd"/>
      <w:r>
        <w:rPr>
          <w:color w:val="3F3F3F"/>
          <w:sz w:val="21"/>
          <w:szCs w:val="21"/>
        </w:rPr>
        <w:t>. 373-376, 378-381 Плана утверждения (актуализации) сметных нормативов на 2021 год, инициатором разработки которых является АК «АЛРОСА» (ПАО).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proofErr w:type="spellStart"/>
      <w:r>
        <w:rPr>
          <w:color w:val="3F3F3F"/>
          <w:sz w:val="21"/>
          <w:szCs w:val="21"/>
        </w:rPr>
        <w:t>Главгосэкспертизой</w:t>
      </w:r>
      <w:proofErr w:type="spellEnd"/>
      <w:r>
        <w:rPr>
          <w:color w:val="3F3F3F"/>
          <w:sz w:val="21"/>
          <w:szCs w:val="21"/>
        </w:rPr>
        <w:t xml:space="preserve"> России разработаны 20 сметных норм расчетно-исследовательским и расчетно-аналитическим методами технического нормирования, в том числе на: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- прохождение горизонтальных выработок и их сопряжений взрывным способом в шахтах, опасных по газу и (или) пыли, с технологией откатки горных пород погрузочно-доставочными машинами;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 xml:space="preserve">- крепление горизонтальных и наклонных выработок </w:t>
      </w:r>
      <w:proofErr w:type="spellStart"/>
      <w:r>
        <w:rPr>
          <w:color w:val="3F3F3F"/>
          <w:sz w:val="21"/>
          <w:szCs w:val="21"/>
        </w:rPr>
        <w:t>набрызг</w:t>
      </w:r>
      <w:proofErr w:type="spellEnd"/>
      <w:r>
        <w:rPr>
          <w:color w:val="3F3F3F"/>
          <w:sz w:val="21"/>
          <w:szCs w:val="21"/>
        </w:rPr>
        <w:t>-бетоном;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- затяжка железобетонными плитами в выработках c углами наклона до 13 градусов;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- крепление горизонтальных и наклонных выработок до 13 градусов и их сопряжений канатными анкерами установкой в свод с заполнением шпуров минеральными композиционными составами;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 xml:space="preserve">- установка металлических штанг в стены методом расклинивания при бурении шпуров буровой проходческой </w:t>
      </w:r>
      <w:proofErr w:type="spellStart"/>
      <w:r>
        <w:rPr>
          <w:color w:val="3F3F3F"/>
          <w:sz w:val="21"/>
          <w:szCs w:val="21"/>
        </w:rPr>
        <w:t>двухстреловой</w:t>
      </w:r>
      <w:proofErr w:type="spellEnd"/>
      <w:r>
        <w:rPr>
          <w:color w:val="3F3F3F"/>
          <w:sz w:val="21"/>
          <w:szCs w:val="21"/>
        </w:rPr>
        <w:t xml:space="preserve"> установкой;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- установка кондуктора в шахтах, опасных по газу и (или) пыли.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Разработанные нормы дифференцированы с учетом условий производства работ в шахтах, опасных и не опасных по газу и (или) пыли.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color w:val="3F3F3F"/>
          <w:sz w:val="21"/>
          <w:szCs w:val="21"/>
        </w:rPr>
        <w:t> </w:t>
      </w:r>
    </w:p>
    <w:p w:rsidR="00031081" w:rsidRDefault="00031081" w:rsidP="00031081">
      <w:pPr>
        <w:pStyle w:val="a3"/>
        <w:shd w:val="clear" w:color="auto" w:fill="FFFFFF"/>
        <w:spacing w:before="0" w:beforeAutospacing="0" w:after="0" w:afterAutospacing="0" w:line="343" w:lineRule="atLeast"/>
        <w:jc w:val="both"/>
        <w:textAlignment w:val="baseline"/>
        <w:rPr>
          <w:color w:val="3F3F3F"/>
          <w:sz w:val="21"/>
          <w:szCs w:val="21"/>
        </w:rPr>
      </w:pPr>
      <w:r>
        <w:rPr>
          <w:noProof/>
          <w:color w:val="3F3F3F"/>
          <w:sz w:val="21"/>
          <w:szCs w:val="21"/>
        </w:rPr>
        <w:lastRenderedPageBreak/>
        <w:drawing>
          <wp:inline distT="0" distB="0" distL="0" distR="0" wp14:anchorId="7638E806" wp14:editId="1156D8B5">
            <wp:extent cx="6657975" cy="3695700"/>
            <wp:effectExtent l="0" t="0" r="9525" b="0"/>
            <wp:docPr id="8" name="Рисунок 8" descr="https://fgiscs.minstroyrf.ru/api/values/GetFileContent/a2b4a084-19a0-4d97-88a7-5c3e7111fd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giscs.minstroyrf.ru/api/values/GetFileContent/a2b4a084-19a0-4d97-88a7-5c3e7111fdb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26B" w:rsidRDefault="0004526B"/>
    <w:sectPr w:rsidR="0004526B" w:rsidSect="00800D1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08"/>
    <w:rsid w:val="00031081"/>
    <w:rsid w:val="0004526B"/>
    <w:rsid w:val="004A0208"/>
    <w:rsid w:val="00800D1A"/>
    <w:rsid w:val="008634A5"/>
    <w:rsid w:val="009267F6"/>
    <w:rsid w:val="00BA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C109"/>
  <w15:chartTrackingRefBased/>
  <w15:docId w15:val="{AB72890C-47C1-4A59-AFD2-D6123916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7</cp:revision>
  <dcterms:created xsi:type="dcterms:W3CDTF">2021-11-25T05:42:00Z</dcterms:created>
  <dcterms:modified xsi:type="dcterms:W3CDTF">2021-11-25T06:43:00Z</dcterms:modified>
</cp:coreProperties>
</file>